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026"/>
      </w:tblGrid>
      <w:tr w:rsidR="005204D2" w:rsidTr="005204D2">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26"/>
            </w:tblGrid>
            <w:tr w:rsidR="005204D2">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5204D2">
                    <w:trPr>
                      <w:jc w:val="center"/>
                    </w:trPr>
                    <w:tc>
                      <w:tcPr>
                        <w:tcW w:w="0" w:type="auto"/>
                        <w:hideMark/>
                      </w:tcPr>
                      <w:p w:rsidR="005204D2" w:rsidRDefault="005204D2"/>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4D2">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5204D2">
                                <w:tc>
                                  <w:tcPr>
                                    <w:tcW w:w="0" w:type="auto"/>
                                    <w:tcMar>
                                      <w:top w:w="270" w:type="dxa"/>
                                      <w:left w:w="270" w:type="dxa"/>
                                      <w:bottom w:w="270" w:type="dxa"/>
                                      <w:right w:w="270" w:type="dxa"/>
                                    </w:tcMar>
                                    <w:hideMark/>
                                  </w:tcPr>
                                  <w:p w:rsidR="005204D2" w:rsidRDefault="00014524">
                                    <w:pPr>
                                      <w:spacing w:line="360" w:lineRule="auto"/>
                                      <w:jc w:val="center"/>
                                      <w:rPr>
                                        <w:rFonts w:ascii="Helvetica" w:hAnsi="Helvetica" w:cs="Helvetica"/>
                                        <w:b/>
                                        <w:bCs/>
                                        <w:color w:val="A50050"/>
                                        <w:sz w:val="27"/>
                                        <w:szCs w:val="27"/>
                                      </w:rPr>
                                    </w:pPr>
                                    <w:r>
                                      <w:rPr>
                                        <w:rFonts w:ascii="Helvetica" w:hAnsi="Helvetica" w:cs="Helvetica"/>
                                        <w:b/>
                                        <w:bCs/>
                                        <w:color w:val="A50050"/>
                                        <w:sz w:val="45"/>
                                        <w:szCs w:val="45"/>
                                      </w:rPr>
                                      <w:t>Masterclass ‘Zicht op hersenletsel 2’</w:t>
                                    </w:r>
                                    <w:r w:rsidR="005204D2">
                                      <w:rPr>
                                        <w:rFonts w:ascii="Helvetica" w:hAnsi="Helvetica" w:cs="Helvetica"/>
                                        <w:b/>
                                        <w:bCs/>
                                        <w:color w:val="A50050"/>
                                        <w:sz w:val="27"/>
                                        <w:szCs w:val="27"/>
                                      </w:rPr>
                                      <w:t xml:space="preserve"> </w:t>
                                    </w:r>
                                  </w:p>
                                </w:tc>
                              </w:tr>
                            </w:tbl>
                            <w:p w:rsidR="005204D2" w:rsidRDefault="005204D2">
                              <w:pPr>
                                <w:rPr>
                                  <w:rFonts w:eastAsia="Times New Roman"/>
                                  <w:sz w:val="20"/>
                                  <w:szCs w:val="20"/>
                                </w:rPr>
                              </w:pPr>
                            </w:p>
                          </w:tc>
                        </w:tr>
                      </w:tbl>
                      <w:p w:rsidR="005204D2" w:rsidRDefault="005204D2">
                        <w:pPr>
                          <w:rPr>
                            <w:rFonts w:eastAsia="Times New Roman"/>
                            <w:sz w:val="20"/>
                            <w:szCs w:val="20"/>
                          </w:rPr>
                        </w:pPr>
                      </w:p>
                    </w:tc>
                  </w:tr>
                </w:tbl>
                <w:p w:rsidR="005204D2" w:rsidRDefault="005204D2">
                  <w:pPr>
                    <w:jc w:val="center"/>
                    <w:rPr>
                      <w:rFonts w:eastAsia="Times New Roman"/>
                      <w:sz w:val="20"/>
                      <w:szCs w:val="20"/>
                    </w:rPr>
                  </w:pPr>
                </w:p>
              </w:tc>
            </w:tr>
          </w:tbl>
          <w:p w:rsidR="005204D2" w:rsidRDefault="005204D2"/>
          <w:tbl>
            <w:tblPr>
              <w:tblW w:w="5000" w:type="pct"/>
              <w:tblCellMar>
                <w:left w:w="0" w:type="dxa"/>
                <w:right w:w="0" w:type="dxa"/>
              </w:tblCellMar>
              <w:tblLook w:val="04A0" w:firstRow="1" w:lastRow="0" w:firstColumn="1" w:lastColumn="0" w:noHBand="0" w:noVBand="1"/>
            </w:tblPr>
            <w:tblGrid>
              <w:gridCol w:w="9026"/>
            </w:tblGrid>
            <w:tr w:rsidR="005204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5204D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204D2">
                          <w:tc>
                            <w:tcPr>
                              <w:tcW w:w="0" w:type="auto"/>
                              <w:tcMar>
                                <w:top w:w="0" w:type="dxa"/>
                                <w:left w:w="270" w:type="dxa"/>
                                <w:bottom w:w="135" w:type="dxa"/>
                                <w:right w:w="270" w:type="dxa"/>
                              </w:tcMar>
                              <w:hideMark/>
                            </w:tcPr>
                            <w:p w:rsidR="005204D2" w:rsidRDefault="005204D2">
                              <w:pPr>
                                <w:pStyle w:val="Kop1"/>
                                <w:jc w:val="center"/>
                                <w:rPr>
                                  <w:rFonts w:eastAsia="Times New Roman"/>
                                </w:rPr>
                              </w:pPr>
                              <w:r>
                                <w:rPr>
                                  <w:rFonts w:eastAsia="Times New Roman"/>
                                  <w:color w:val="000000"/>
                                  <w:sz w:val="21"/>
                                  <w:szCs w:val="21"/>
                                </w:rPr>
                                <w:t> 13 november 2018</w:t>
                              </w:r>
                              <w:r>
                                <w:rPr>
                                  <w:rFonts w:eastAsia="Times New Roman"/>
                                </w:rPr>
                                <w:br/>
                              </w:r>
                            </w:p>
                            <w:p w:rsidR="005204D2" w:rsidRDefault="005204D2">
                              <w:pPr>
                                <w:spacing w:line="360" w:lineRule="auto"/>
                                <w:jc w:val="center"/>
                                <w:rPr>
                                  <w:rFonts w:ascii="Arial" w:hAnsi="Arial" w:cs="Arial"/>
                                  <w:color w:val="000000"/>
                                  <w:sz w:val="20"/>
                                  <w:szCs w:val="20"/>
                                </w:rPr>
                              </w:pPr>
                              <w:r>
                                <w:rPr>
                                  <w:rStyle w:val="Zwaar"/>
                                  <w:rFonts w:ascii="Arial" w:hAnsi="Arial" w:cs="Arial"/>
                                  <w:color w:val="000000"/>
                                  <w:sz w:val="27"/>
                                  <w:szCs w:val="27"/>
                                </w:rPr>
                                <w:t>Met gastsprekers Dr. Tanja Nijboer, Drs. Rianne Brinkman</w:t>
                              </w:r>
                              <w:r>
                                <w:rPr>
                                  <w:rFonts w:ascii="Arial" w:hAnsi="Arial" w:cs="Arial"/>
                                  <w:b/>
                                  <w:bCs/>
                                  <w:color w:val="000000"/>
                                  <w:sz w:val="27"/>
                                  <w:szCs w:val="27"/>
                                </w:rPr>
                                <w:br/>
                              </w:r>
                              <w:r>
                                <w:rPr>
                                  <w:rStyle w:val="Zwaar"/>
                                  <w:rFonts w:ascii="Arial" w:hAnsi="Arial" w:cs="Arial"/>
                                  <w:color w:val="000000"/>
                                  <w:sz w:val="27"/>
                                  <w:szCs w:val="27"/>
                                </w:rPr>
                                <w:t> &amp; interactieve deelsessies</w:t>
                              </w:r>
                              <w:r>
                                <w:rPr>
                                  <w:rFonts w:ascii="Arial" w:hAnsi="Arial" w:cs="Arial"/>
                                  <w:color w:val="000000"/>
                                  <w:sz w:val="20"/>
                                  <w:szCs w:val="20"/>
                                </w:rPr>
                                <w:br/>
                                <w:t> </w:t>
                              </w:r>
                            </w:p>
                            <w:p w:rsidR="005204D2" w:rsidRDefault="005204D2">
                              <w:pPr>
                                <w:spacing w:line="360" w:lineRule="auto"/>
                                <w:jc w:val="center"/>
                                <w:rPr>
                                  <w:rFonts w:ascii="Arial" w:hAnsi="Arial" w:cs="Arial"/>
                                  <w:color w:val="000000"/>
                                  <w:sz w:val="20"/>
                                  <w:szCs w:val="20"/>
                                </w:rPr>
                              </w:pPr>
                              <w:r>
                                <w:rPr>
                                  <w:rFonts w:ascii="Arial" w:hAnsi="Arial" w:cs="Arial"/>
                                  <w:color w:val="000000"/>
                                  <w:sz w:val="20"/>
                                  <w:szCs w:val="20"/>
                                </w:rPr>
                                <w:t>Voor deze scholing wordt accreditatie aangevraagd voor</w:t>
                              </w:r>
                              <w:r>
                                <w:rPr>
                                  <w:rFonts w:ascii="Arial" w:hAnsi="Arial" w:cs="Arial"/>
                                  <w:color w:val="000000"/>
                                  <w:sz w:val="20"/>
                                  <w:szCs w:val="20"/>
                                </w:rPr>
                                <w:br/>
                                <w:t>diverse beroepsgroepen, o.a. voor</w:t>
                              </w:r>
                              <w:r>
                                <w:rPr>
                                  <w:rFonts w:ascii="Arial" w:hAnsi="Arial" w:cs="Arial"/>
                                  <w:color w:val="000000"/>
                                  <w:sz w:val="20"/>
                                  <w:szCs w:val="20"/>
                                </w:rPr>
                                <w:br/>
                                <w:t>logopedisten, POH-GGZ en psychologen.</w:t>
                              </w:r>
                              <w:r>
                                <w:rPr>
                                  <w:rFonts w:ascii="Arial" w:hAnsi="Arial" w:cs="Arial"/>
                                  <w:color w:val="000000"/>
                                  <w:sz w:val="23"/>
                                  <w:szCs w:val="23"/>
                                </w:rPr>
                                <w:t xml:space="preserve"> </w:t>
                              </w:r>
                            </w:p>
                          </w:tc>
                        </w:tr>
                      </w:tbl>
                      <w:p w:rsidR="005204D2" w:rsidRDefault="005204D2">
                        <w:pPr>
                          <w:rPr>
                            <w:rFonts w:eastAsia="Times New Roman"/>
                            <w:sz w:val="20"/>
                            <w:szCs w:val="20"/>
                          </w:rPr>
                        </w:pPr>
                      </w:p>
                    </w:tc>
                  </w:tr>
                </w:tbl>
                <w:p w:rsidR="005204D2" w:rsidRDefault="005204D2">
                  <w:pPr>
                    <w:rPr>
                      <w:rFonts w:eastAsia="Times New Roman"/>
                      <w:sz w:val="20"/>
                      <w:szCs w:val="20"/>
                    </w:rPr>
                  </w:pPr>
                </w:p>
              </w:tc>
            </w:tr>
            <w:tr w:rsidR="005204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5204D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204D2">
                          <w:tc>
                            <w:tcPr>
                              <w:tcW w:w="0" w:type="auto"/>
                              <w:tcMar>
                                <w:top w:w="0" w:type="dxa"/>
                                <w:left w:w="270" w:type="dxa"/>
                                <w:bottom w:w="135" w:type="dxa"/>
                                <w:right w:w="270" w:type="dxa"/>
                              </w:tcMar>
                              <w:hideMark/>
                            </w:tcPr>
                            <w:p w:rsidR="005204D2" w:rsidRDefault="005204D2">
                              <w:pPr>
                                <w:spacing w:line="480" w:lineRule="auto"/>
                                <w:rPr>
                                  <w:rFonts w:ascii="Arial" w:hAnsi="Arial" w:cs="Arial"/>
                                  <w:color w:val="000000"/>
                                  <w:sz w:val="20"/>
                                  <w:szCs w:val="20"/>
                                </w:rPr>
                              </w:pPr>
                              <w:r>
                                <w:rPr>
                                  <w:rStyle w:val="Zwaar"/>
                                  <w:rFonts w:ascii="Arial" w:hAnsi="Arial" w:cs="Arial"/>
                                  <w:color w:val="000000"/>
                                  <w:sz w:val="20"/>
                                  <w:szCs w:val="20"/>
                                </w:rPr>
                                <w:t>Programma</w:t>
                              </w:r>
                            </w:p>
                            <w:p w:rsidR="005204D2" w:rsidRDefault="005204D2">
                              <w:pPr>
                                <w:spacing w:line="480" w:lineRule="auto"/>
                                <w:rPr>
                                  <w:rFonts w:ascii="Arial" w:hAnsi="Arial" w:cs="Arial"/>
                                  <w:color w:val="000000"/>
                                  <w:sz w:val="20"/>
                                  <w:szCs w:val="20"/>
                                </w:rPr>
                              </w:pPr>
                              <w:r>
                                <w:rPr>
                                  <w:rFonts w:ascii="Arial" w:hAnsi="Arial" w:cs="Arial"/>
                                  <w:color w:val="000000"/>
                                  <w:sz w:val="20"/>
                                  <w:szCs w:val="20"/>
                                </w:rPr>
                                <w:t>15.30 uur                   Inloop &amp; ontvangst</w:t>
                              </w:r>
                              <w:r>
                                <w:rPr>
                                  <w:rFonts w:ascii="Arial" w:hAnsi="Arial" w:cs="Arial"/>
                                  <w:color w:val="000000"/>
                                  <w:sz w:val="20"/>
                                  <w:szCs w:val="20"/>
                                </w:rPr>
                                <w:br/>
                                <w:t xml:space="preserve">16.15 uur                   Lezing 'Ontwikkelingen op het gebied van </w:t>
                              </w:r>
                              <w:r>
                                <w:rPr>
                                  <w:rFonts w:ascii="Arial" w:hAnsi="Arial" w:cs="Arial"/>
                                  <w:color w:val="000000"/>
                                  <w:sz w:val="20"/>
                                  <w:szCs w:val="20"/>
                                  <w:lang w:eastAsia="en-US"/>
                                </w:rPr>
                                <w:t>neuropsychologische</w:t>
                              </w:r>
                              <w:r>
                                <w:rPr>
                                  <w:rFonts w:ascii="Arial" w:hAnsi="Arial" w:cs="Arial"/>
                                  <w:color w:val="000000"/>
                                  <w:sz w:val="20"/>
                                  <w:szCs w:val="20"/>
                                  <w:lang w:eastAsia="en-US"/>
                                </w:rPr>
                                <w:br/>
                                <w:t xml:space="preserve">                                 diagnostiek' </w:t>
                              </w:r>
                              <w:r>
                                <w:rPr>
                                  <w:rFonts w:ascii="Arial" w:hAnsi="Arial" w:cs="Arial"/>
                                  <w:color w:val="000000"/>
                                  <w:sz w:val="20"/>
                                  <w:szCs w:val="20"/>
                                </w:rPr>
                                <w:t>door Dr. Tanja Nijboer &amp; Drs. Carinde Nijeboer.</w:t>
                              </w:r>
                              <w:r>
                                <w:rPr>
                                  <w:rFonts w:ascii="Arial" w:hAnsi="Arial" w:cs="Arial"/>
                                  <w:color w:val="000000"/>
                                  <w:sz w:val="20"/>
                                  <w:szCs w:val="20"/>
                                </w:rPr>
                                <w:br/>
                                <w:t>17.15 uur                   Interactieve deelsessies*</w:t>
                              </w:r>
                              <w:r>
                                <w:rPr>
                                  <w:rFonts w:ascii="Arial" w:hAnsi="Arial" w:cs="Arial"/>
                                  <w:color w:val="000000"/>
                                  <w:sz w:val="20"/>
                                  <w:szCs w:val="20"/>
                                </w:rPr>
                                <w:br/>
                                <w:t>17.45 uur                   Gezamenlijk dinerbuffet</w:t>
                              </w:r>
                              <w:r>
                                <w:rPr>
                                  <w:rFonts w:ascii="Arial" w:hAnsi="Arial" w:cs="Arial"/>
                                  <w:color w:val="000000"/>
                                  <w:sz w:val="20"/>
                                  <w:szCs w:val="20"/>
                                </w:rPr>
                                <w:br/>
                                <w:t>18.45 uur                   Lezing 'Afasie en identiteit' door Drs. Rianne Brinkman</w:t>
                              </w:r>
                              <w:r>
                                <w:rPr>
                                  <w:rFonts w:ascii="Arial" w:hAnsi="Arial" w:cs="Arial"/>
                                  <w:color w:val="000000"/>
                                  <w:sz w:val="20"/>
                                  <w:szCs w:val="20"/>
                                </w:rPr>
                                <w:br/>
                                <w:t>                                &amp; Drs. Odette Stoutjesdijk</w:t>
                              </w:r>
                              <w:r>
                                <w:rPr>
                                  <w:rFonts w:ascii="Arial" w:hAnsi="Arial" w:cs="Arial"/>
                                  <w:color w:val="000000"/>
                                  <w:sz w:val="20"/>
                                  <w:szCs w:val="20"/>
                                </w:rPr>
                                <w:br/>
                                <w:t>19.45 uur                   Interactieve deelsessies*</w:t>
                              </w:r>
                              <w:r>
                                <w:rPr>
                                  <w:rFonts w:ascii="Arial" w:hAnsi="Arial" w:cs="Arial"/>
                                  <w:color w:val="000000"/>
                                  <w:sz w:val="20"/>
                                  <w:szCs w:val="20"/>
                                </w:rPr>
                                <w:br/>
                                <w:t xml:space="preserve">20.15 - 20.45 uur        </w:t>
                              </w:r>
                              <w:proofErr w:type="spellStart"/>
                              <w:r>
                                <w:rPr>
                                  <w:rFonts w:ascii="Arial" w:hAnsi="Arial" w:cs="Arial"/>
                                  <w:color w:val="000000"/>
                                  <w:sz w:val="20"/>
                                  <w:szCs w:val="20"/>
                                </w:rPr>
                                <w:t>Dagafsluiting</w:t>
                              </w:r>
                              <w:proofErr w:type="spellEnd"/>
                              <w:r>
                                <w:rPr>
                                  <w:rFonts w:ascii="Arial" w:hAnsi="Arial" w:cs="Arial"/>
                                  <w:color w:val="000000"/>
                                  <w:sz w:val="20"/>
                                  <w:szCs w:val="20"/>
                                </w:rPr>
                                <w:t xml:space="preserve"> &amp; borrel</w:t>
                              </w:r>
                            </w:p>
                            <w:p w:rsidR="005204D2" w:rsidRPr="00014524" w:rsidRDefault="005204D2">
                              <w:pPr>
                                <w:spacing w:line="480" w:lineRule="auto"/>
                                <w:rPr>
                                  <w:rFonts w:ascii="Arial" w:hAnsi="Arial" w:cs="Arial"/>
                                  <w:b/>
                                  <w:bCs/>
                                  <w:color w:val="000000"/>
                                  <w:sz w:val="20"/>
                                  <w:szCs w:val="20"/>
                                </w:rPr>
                              </w:pPr>
                              <w:r>
                                <w:rPr>
                                  <w:rFonts w:ascii="Arial" w:hAnsi="Arial" w:cs="Arial"/>
                                  <w:color w:val="000000"/>
                                  <w:sz w:val="20"/>
                                  <w:szCs w:val="20"/>
                                </w:rPr>
                                <w:t>* De inschrijving voor de deelsessies start twee weken voor aanvang van de Masterclass. </w:t>
                              </w:r>
                              <w:r>
                                <w:rPr>
                                  <w:rFonts w:ascii="Arial" w:hAnsi="Arial" w:cs="Arial"/>
                                  <w:color w:val="000000"/>
                                  <w:sz w:val="20"/>
                                  <w:szCs w:val="20"/>
                                </w:rPr>
                                <w:br/>
                                <w:t>  Hierover ontvangt u tijdig bericht.</w:t>
                              </w:r>
                              <w:r>
                                <w:rPr>
                                  <w:rFonts w:ascii="Arial" w:hAnsi="Arial" w:cs="Arial"/>
                                  <w:color w:val="000000"/>
                                  <w:sz w:val="20"/>
                                  <w:szCs w:val="20"/>
                                </w:rPr>
                                <w:br/>
                              </w:r>
                              <w:r>
                                <w:rPr>
                                  <w:rFonts w:ascii="Arial" w:hAnsi="Arial" w:cs="Arial"/>
                                  <w:color w:val="000000"/>
                                  <w:sz w:val="20"/>
                                  <w:szCs w:val="20"/>
                                </w:rPr>
                                <w:br/>
                              </w:r>
                              <w:r>
                                <w:rPr>
                                  <w:rStyle w:val="Zwaar"/>
                                  <w:rFonts w:ascii="Arial" w:hAnsi="Arial" w:cs="Arial"/>
                                  <w:color w:val="000000"/>
                                  <w:sz w:val="20"/>
                                  <w:szCs w:val="20"/>
                                </w:rPr>
                                <w:t>Locatie                    </w:t>
                              </w:r>
                              <w:proofErr w:type="spellStart"/>
                              <w:r>
                                <w:rPr>
                                  <w:rFonts w:ascii="Arial" w:hAnsi="Arial" w:cs="Arial"/>
                                  <w:color w:val="000000"/>
                                  <w:sz w:val="20"/>
                                  <w:szCs w:val="20"/>
                                </w:rPr>
                                <w:t>Connexion</w:t>
                              </w:r>
                              <w:proofErr w:type="spellEnd"/>
                              <w:r>
                                <w:rPr>
                                  <w:rFonts w:ascii="Arial" w:hAnsi="Arial" w:cs="Arial"/>
                                  <w:color w:val="000000"/>
                                  <w:sz w:val="20"/>
                                  <w:szCs w:val="20"/>
                                </w:rPr>
                                <w:t xml:space="preserve"> Point Amersfoort, Natriumweg 6, 3812 PV Amersfoort</w:t>
                              </w:r>
                              <w:r>
                                <w:rPr>
                                  <w:rFonts w:ascii="Arial" w:hAnsi="Arial" w:cs="Arial"/>
                                  <w:color w:val="000000"/>
                                  <w:sz w:val="20"/>
                                  <w:szCs w:val="20"/>
                                </w:rPr>
                                <w:br/>
                              </w:r>
                              <w:r>
                                <w:rPr>
                                  <w:rStyle w:val="Zwaar"/>
                                  <w:rFonts w:ascii="Arial" w:hAnsi="Arial" w:cs="Arial"/>
                                  <w:color w:val="000000"/>
                                  <w:sz w:val="20"/>
                                  <w:szCs w:val="20"/>
                                </w:rPr>
                                <w:t xml:space="preserve">Vragen </w:t>
                              </w:r>
                              <w:r w:rsidR="00014524">
                                <w:rPr>
                                  <w:rStyle w:val="Zwaar"/>
                                  <w:rFonts w:ascii="Arial" w:hAnsi="Arial" w:cs="Arial"/>
                                  <w:color w:val="000000"/>
                                  <w:sz w:val="20"/>
                                  <w:szCs w:val="20"/>
                                </w:rPr>
                                <w:t>en aanmelding</w:t>
                              </w:r>
                              <w:r>
                                <w:rPr>
                                  <w:rStyle w:val="Zwaar"/>
                                  <w:rFonts w:ascii="Arial" w:hAnsi="Arial" w:cs="Arial"/>
                                  <w:color w:val="000000"/>
                                  <w:sz w:val="20"/>
                                  <w:szCs w:val="20"/>
                                </w:rPr>
                                <w:t> </w:t>
                              </w:r>
                              <w:r>
                                <w:rPr>
                                  <w:rFonts w:ascii="Arial" w:hAnsi="Arial" w:cs="Arial"/>
                                  <w:color w:val="000000"/>
                                  <w:sz w:val="20"/>
                                  <w:szCs w:val="20"/>
                                </w:rPr>
                                <w:t xml:space="preserve">                  Stuur een e-mail naar</w:t>
                              </w:r>
                              <w:r>
                                <w:rPr>
                                  <w:rFonts w:ascii="Arial" w:hAnsi="Arial" w:cs="Arial"/>
                                  <w:color w:val="000000"/>
                                  <w:sz w:val="21"/>
                                  <w:szCs w:val="21"/>
                                </w:rPr>
                                <w:t xml:space="preserve"> </w:t>
                              </w:r>
                              <w:hyperlink r:id="rId4" w:tgtFrame="_blank" w:history="1">
                                <w:r>
                                  <w:rPr>
                                    <w:rStyle w:val="Hyperlink"/>
                                    <w:rFonts w:cs="Arial"/>
                                    <w:b/>
                                    <w:bCs/>
                                    <w:color w:val="000000"/>
                                    <w:sz w:val="20"/>
                                    <w:szCs w:val="20"/>
                                  </w:rPr>
                                  <w:t>behandeling@boogh.nl</w:t>
                                </w:r>
                              </w:hyperlink>
                              <w:r>
                                <w:rPr>
                                  <w:rFonts w:ascii="Arial" w:hAnsi="Arial" w:cs="Arial"/>
                                  <w:color w:val="000000"/>
                                  <w:sz w:val="20"/>
                                  <w:szCs w:val="20"/>
                                </w:rPr>
                                <w:br/>
                              </w:r>
                              <w:r>
                                <w:rPr>
                                  <w:rFonts w:ascii="Arial" w:hAnsi="Arial" w:cs="Arial"/>
                                  <w:color w:val="000000"/>
                                  <w:sz w:val="20"/>
                                  <w:szCs w:val="20"/>
                                </w:rPr>
                                <w:br/>
                                <w:t xml:space="preserve">  </w:t>
                              </w:r>
                            </w:p>
                          </w:tc>
                        </w:tr>
                      </w:tbl>
                      <w:p w:rsidR="005204D2" w:rsidRDefault="005204D2">
                        <w:pPr>
                          <w:rPr>
                            <w:rFonts w:eastAsia="Times New Roman"/>
                            <w:sz w:val="20"/>
                            <w:szCs w:val="20"/>
                          </w:rPr>
                        </w:pPr>
                      </w:p>
                    </w:tc>
                  </w:tr>
                </w:tbl>
                <w:p w:rsidR="005204D2" w:rsidRDefault="005204D2">
                  <w:pPr>
                    <w:rPr>
                      <w:rFonts w:eastAsia="Times New Roman"/>
                      <w:sz w:val="20"/>
                      <w:szCs w:val="20"/>
                    </w:rPr>
                  </w:pPr>
                </w:p>
              </w:tc>
            </w:tr>
            <w:tr w:rsidR="005204D2" w:rsidTr="00014524">
              <w:tc>
                <w:tcPr>
                  <w:tcW w:w="0" w:type="auto"/>
                  <w:tcMar>
                    <w:top w:w="0" w:type="dxa"/>
                    <w:left w:w="270" w:type="dxa"/>
                    <w:bottom w:w="270" w:type="dxa"/>
                    <w:right w:w="270" w:type="dxa"/>
                  </w:tcMar>
                </w:tcPr>
                <w:p w:rsidR="005204D2" w:rsidRDefault="005204D2">
                  <w:pPr>
                    <w:jc w:val="center"/>
                    <w:rPr>
                      <w:rFonts w:eastAsia="Times New Roman"/>
                      <w:sz w:val="20"/>
                      <w:szCs w:val="20"/>
                    </w:rPr>
                  </w:pPr>
                </w:p>
              </w:tc>
            </w:tr>
          </w:tbl>
          <w:p w:rsidR="005204D2" w:rsidRDefault="005204D2"/>
          <w:tbl>
            <w:tblPr>
              <w:tblW w:w="5000" w:type="pct"/>
              <w:tblCellMar>
                <w:left w:w="0" w:type="dxa"/>
                <w:right w:w="0" w:type="dxa"/>
              </w:tblCellMar>
              <w:tblLook w:val="04A0" w:firstRow="1" w:lastRow="0" w:firstColumn="1" w:lastColumn="0" w:noHBand="0" w:noVBand="1"/>
            </w:tblPr>
            <w:tblGrid>
              <w:gridCol w:w="9026"/>
            </w:tblGrid>
            <w:tr w:rsidR="005204D2">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5204D2">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5204D2">
                          <w:tc>
                            <w:tcPr>
                              <w:tcW w:w="0" w:type="auto"/>
                              <w:hideMark/>
                            </w:tcPr>
                            <w:p w:rsidR="005204D2" w:rsidRDefault="005204D2">
                              <w:r>
                                <w:rPr>
                                  <w:noProof/>
                                </w:rPr>
                                <w:drawing>
                                  <wp:inline distT="0" distB="0" distL="0" distR="0">
                                    <wp:extent cx="952500" cy="1428750"/>
                                    <wp:effectExtent l="0" t="0" r="0" b="0"/>
                                    <wp:docPr id="2" name="Afbeelding 2" descr="https://gallery.mailchimp.com/4652a57babc0277ea756f09be/images/2d007143-9d43-4f25-9269-57778234c5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652a57babc0277ea756f09be/images/2d007143-9d43-4f25-9269-57778234c5d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5204D2">
                          <w:tc>
                            <w:tcPr>
                              <w:tcW w:w="0" w:type="auto"/>
                              <w:hideMark/>
                            </w:tcPr>
                            <w:p w:rsidR="005204D2" w:rsidRDefault="005204D2">
                              <w:pPr>
                                <w:pStyle w:val="Kop2"/>
                                <w:rPr>
                                  <w:rFonts w:eastAsia="Times New Roman"/>
                                  <w:sz w:val="33"/>
                                  <w:szCs w:val="33"/>
                                </w:rPr>
                              </w:pPr>
                              <w:bookmarkStart w:id="0" w:name="coen-van-bennekom"/>
                              <w:bookmarkEnd w:id="0"/>
                              <w:r>
                                <w:rPr>
                                  <w:rFonts w:eastAsia="Times New Roman"/>
                                </w:rPr>
                                <w:t>Dr. Tanja Nijboer</w:t>
                              </w:r>
                              <w:r>
                                <w:rPr>
                                  <w:rFonts w:eastAsia="Times New Roman"/>
                                </w:rPr>
                                <w:br/>
                                <w:t> </w:t>
                              </w:r>
                            </w:p>
                            <w:p w:rsidR="005204D2" w:rsidRDefault="005204D2">
                              <w:pPr>
                                <w:spacing w:line="360" w:lineRule="auto"/>
                                <w:rPr>
                                  <w:rFonts w:ascii="Arial" w:hAnsi="Arial" w:cs="Arial"/>
                                  <w:color w:val="000000"/>
                                  <w:sz w:val="20"/>
                                  <w:szCs w:val="20"/>
                                </w:rPr>
                              </w:pPr>
                              <w:r>
                                <w:rPr>
                                  <w:rFonts w:ascii="Arial" w:hAnsi="Arial" w:cs="Arial"/>
                                  <w:color w:val="000000"/>
                                  <w:sz w:val="20"/>
                                  <w:szCs w:val="20"/>
                                </w:rPr>
                                <w:t>Dr. Tanja Nijboer is gedragswetenschapper en neuropsycholoog bij de afdeling Psychologische Functieleer van de UU en Kenniscentrum Revalidatiegeneeskunde Utrecht. Haar huidige onderzoek richt zich voornamelijk op de neuropsychologie van (</w:t>
                              </w:r>
                              <w:proofErr w:type="spellStart"/>
                              <w:r>
                                <w:rPr>
                                  <w:rFonts w:ascii="Arial" w:hAnsi="Arial" w:cs="Arial"/>
                                  <w:color w:val="000000"/>
                                  <w:sz w:val="20"/>
                                  <w:szCs w:val="20"/>
                                </w:rPr>
                                <w:t>multisensorische</w:t>
                              </w:r>
                              <w:proofErr w:type="spellEnd"/>
                              <w:r>
                                <w:rPr>
                                  <w:rFonts w:ascii="Arial" w:hAnsi="Arial" w:cs="Arial"/>
                                  <w:color w:val="000000"/>
                                  <w:sz w:val="20"/>
                                  <w:szCs w:val="20"/>
                                </w:rPr>
                                <w:t>) aandacht, waar cognitieve neurowetenschappen, diagnostiek en revalidatie samenkomen. Verschillende technieken worden gebruikt om te komen tot innovatievere manieren om cognitie in kaart te brengen.</w:t>
                              </w:r>
                              <w:r>
                                <w:rPr>
                                  <w:rFonts w:ascii="Arial" w:hAnsi="Arial" w:cs="Arial"/>
                                  <w:color w:val="000000"/>
                                  <w:sz w:val="20"/>
                                  <w:szCs w:val="20"/>
                                </w:rPr>
                                <w:br/>
                              </w:r>
                              <w:r>
                                <w:rPr>
                                  <w:rFonts w:ascii="Arial" w:hAnsi="Arial" w:cs="Arial"/>
                                  <w:color w:val="000000"/>
                                  <w:sz w:val="20"/>
                                  <w:szCs w:val="20"/>
                                </w:rPr>
                                <w:br/>
                                <w:t xml:space="preserve">Samen met Drs. Carinde Nijeboer van Boogh, zal zij in haar lezing de laatste ontwikkelingen op het gebied van neuropsychologische diagnostiek en het gebruik van Virtual </w:t>
                              </w:r>
                              <w:proofErr w:type="spellStart"/>
                              <w:r>
                                <w:rPr>
                                  <w:rFonts w:ascii="Arial" w:hAnsi="Arial" w:cs="Arial"/>
                                  <w:color w:val="000000"/>
                                  <w:sz w:val="20"/>
                                  <w:szCs w:val="20"/>
                                </w:rPr>
                                <w:t>Reality</w:t>
                              </w:r>
                              <w:proofErr w:type="spellEnd"/>
                              <w:r>
                                <w:rPr>
                                  <w:rFonts w:ascii="Arial" w:hAnsi="Arial" w:cs="Arial"/>
                                  <w:color w:val="000000"/>
                                  <w:sz w:val="20"/>
                                  <w:szCs w:val="20"/>
                                </w:rPr>
                                <w:t xml:space="preserve"> (VR) belichten. </w:t>
                              </w:r>
                            </w:p>
                          </w:tc>
                        </w:tr>
                      </w:tbl>
                      <w:p w:rsidR="005204D2" w:rsidRDefault="005204D2">
                        <w:pPr>
                          <w:rPr>
                            <w:rFonts w:eastAsia="Times New Roman"/>
                            <w:sz w:val="20"/>
                            <w:szCs w:val="20"/>
                          </w:rPr>
                        </w:pPr>
                      </w:p>
                    </w:tc>
                  </w:tr>
                </w:tbl>
                <w:p w:rsidR="005204D2" w:rsidRDefault="005204D2">
                  <w:pPr>
                    <w:rPr>
                      <w:rFonts w:eastAsia="Times New Roman"/>
                      <w:sz w:val="20"/>
                      <w:szCs w:val="20"/>
                    </w:rPr>
                  </w:pPr>
                </w:p>
              </w:tc>
            </w:tr>
          </w:tbl>
          <w:p w:rsidR="005204D2" w:rsidRDefault="005204D2"/>
          <w:tbl>
            <w:tblPr>
              <w:tblW w:w="5000" w:type="pct"/>
              <w:tblCellMar>
                <w:left w:w="0" w:type="dxa"/>
                <w:right w:w="0" w:type="dxa"/>
              </w:tblCellMar>
              <w:tblLook w:val="04A0" w:firstRow="1" w:lastRow="0" w:firstColumn="1" w:lastColumn="0" w:noHBand="0" w:noVBand="1"/>
            </w:tblPr>
            <w:tblGrid>
              <w:gridCol w:w="9026"/>
            </w:tblGrid>
            <w:tr w:rsidR="005204D2">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5204D2">
                    <w:tc>
                      <w:tcPr>
                        <w:tcW w:w="0" w:type="auto"/>
                        <w:tcBorders>
                          <w:top w:val="single" w:sz="12" w:space="0" w:color="A50050"/>
                          <w:left w:val="nil"/>
                          <w:bottom w:val="nil"/>
                          <w:right w:val="nil"/>
                        </w:tcBorders>
                        <w:vAlign w:val="center"/>
                        <w:hideMark/>
                      </w:tcPr>
                      <w:p w:rsidR="005204D2" w:rsidRDefault="005204D2"/>
                    </w:tc>
                  </w:tr>
                </w:tbl>
                <w:p w:rsidR="005204D2" w:rsidRDefault="005204D2">
                  <w:pPr>
                    <w:rPr>
                      <w:rFonts w:eastAsia="Times New Roman"/>
                      <w:sz w:val="20"/>
                      <w:szCs w:val="20"/>
                    </w:rPr>
                  </w:pPr>
                </w:p>
              </w:tc>
            </w:tr>
          </w:tbl>
          <w:p w:rsidR="005204D2" w:rsidRDefault="005204D2"/>
          <w:tbl>
            <w:tblPr>
              <w:tblW w:w="5000" w:type="pct"/>
              <w:tblCellMar>
                <w:left w:w="0" w:type="dxa"/>
                <w:right w:w="0" w:type="dxa"/>
              </w:tblCellMar>
              <w:tblLook w:val="04A0" w:firstRow="1" w:lastRow="0" w:firstColumn="1" w:lastColumn="0" w:noHBand="0" w:noVBand="1"/>
            </w:tblPr>
            <w:tblGrid>
              <w:gridCol w:w="9026"/>
            </w:tblGrid>
            <w:tr w:rsidR="005204D2">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5204D2">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5204D2">
                          <w:tc>
                            <w:tcPr>
                              <w:tcW w:w="0" w:type="auto"/>
                              <w:hideMark/>
                            </w:tcPr>
                            <w:p w:rsidR="005204D2" w:rsidRDefault="005204D2">
                              <w:r>
                                <w:rPr>
                                  <w:noProof/>
                                </w:rPr>
                                <w:drawing>
                                  <wp:inline distT="0" distB="0" distL="0" distR="0">
                                    <wp:extent cx="1257300" cy="904875"/>
                                    <wp:effectExtent l="0" t="0" r="0" b="9525"/>
                                    <wp:docPr id="1" name="Afbeelding 1" descr="https://gallery.mailchimp.com/4652a57babc0277ea756f09be/images/915ef0b3-6b8d-431c-ab1b-455ec4ece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652a57babc0277ea756f09be/images/915ef0b3-6b8d-431c-ab1b-455ec4ece1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904875"/>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5204D2">
                          <w:tc>
                            <w:tcPr>
                              <w:tcW w:w="0" w:type="auto"/>
                              <w:hideMark/>
                            </w:tcPr>
                            <w:p w:rsidR="005204D2" w:rsidRDefault="005204D2">
                              <w:pPr>
                                <w:pStyle w:val="Kop2"/>
                                <w:rPr>
                                  <w:rFonts w:eastAsia="Times New Roman"/>
                                  <w:sz w:val="33"/>
                                  <w:szCs w:val="33"/>
                                </w:rPr>
                              </w:pPr>
                              <w:bookmarkStart w:id="1" w:name="caroline-van-heugten"/>
                              <w:bookmarkEnd w:id="1"/>
                              <w:r>
                                <w:rPr>
                                  <w:rFonts w:eastAsia="Times New Roman"/>
                                </w:rPr>
                                <w:t>Onderzoeker-docent Rianne Brinkman</w:t>
                              </w:r>
                            </w:p>
                            <w:p w:rsidR="005204D2" w:rsidRDefault="005204D2">
                              <w:pPr>
                                <w:spacing w:line="360" w:lineRule="auto"/>
                                <w:rPr>
                                  <w:rFonts w:ascii="Arial" w:hAnsi="Arial" w:cs="Arial"/>
                                  <w:color w:val="000000"/>
                                  <w:sz w:val="20"/>
                                  <w:szCs w:val="20"/>
                                </w:rPr>
                              </w:pPr>
                              <w:r>
                                <w:rPr>
                                  <w:rFonts w:ascii="Arial" w:hAnsi="Arial" w:cs="Arial"/>
                                  <w:color w:val="000000"/>
                                  <w:sz w:val="20"/>
                                  <w:szCs w:val="20"/>
                                </w:rPr>
                                <w:br/>
                                <w:t>Drs. Rianne Brinkman is werkzaam bij de Hogeschool Rotterdam als docent Neurologische Taal, Spraak- en Slikstoornissen. Sinds 2016 is zij als onderzoeker ook verbonden aan het Kenniscentrum Zorginnovatie.</w:t>
                              </w:r>
                              <w:r>
                                <w:rPr>
                                  <w:rFonts w:ascii="Arial" w:hAnsi="Arial" w:cs="Arial"/>
                                  <w:color w:val="000000"/>
                                  <w:sz w:val="20"/>
                                  <w:szCs w:val="20"/>
                                </w:rPr>
                                <w:br/>
                              </w:r>
                              <w:r>
                                <w:rPr>
                                  <w:rFonts w:ascii="Arial" w:hAnsi="Arial" w:cs="Arial"/>
                                  <w:color w:val="000000"/>
                                  <w:sz w:val="20"/>
                                  <w:szCs w:val="20"/>
                                </w:rPr>
                                <w:br/>
                                <w:t>In haar lezing bespreekt Drs. Rianne Brinkman samen met Drs. Odette Stoutjesdijk van Boogh, haar visie en de laatste ontwikkelingen op het gebied van 'afasie en identiteit'. Jezelf opnieuw uitvinden is - ook na de revalidatiefase - voor mensen met afasie een extra grote uitdaging, omdat identiteit ontstaat door contact en communicatie met anderen. In de lezing worden o.a. de mogelijkheden voor zorgverleners besproken, om mensen hierin te begeleiden.</w:t>
                              </w:r>
                              <w:r>
                                <w:rPr>
                                  <w:rFonts w:ascii="Arial" w:hAnsi="Arial" w:cs="Arial"/>
                                  <w:color w:val="000000"/>
                                  <w:sz w:val="20"/>
                                  <w:szCs w:val="20"/>
                                </w:rPr>
                                <w:br/>
                                <w:t xml:space="preserve">  </w:t>
                              </w:r>
                            </w:p>
                          </w:tc>
                        </w:tr>
                      </w:tbl>
                      <w:p w:rsidR="005204D2" w:rsidRDefault="005204D2">
                        <w:pPr>
                          <w:rPr>
                            <w:rFonts w:eastAsia="Times New Roman"/>
                            <w:sz w:val="20"/>
                            <w:szCs w:val="20"/>
                          </w:rPr>
                        </w:pPr>
                      </w:p>
                    </w:tc>
                  </w:tr>
                </w:tbl>
                <w:p w:rsidR="005204D2" w:rsidRDefault="005204D2">
                  <w:pPr>
                    <w:rPr>
                      <w:rFonts w:eastAsia="Times New Roman"/>
                      <w:sz w:val="20"/>
                      <w:szCs w:val="20"/>
                    </w:rPr>
                  </w:pPr>
                </w:p>
              </w:tc>
            </w:tr>
          </w:tbl>
          <w:p w:rsidR="005204D2" w:rsidRDefault="005204D2"/>
          <w:tbl>
            <w:tblPr>
              <w:tblW w:w="5000" w:type="pct"/>
              <w:tblCellMar>
                <w:left w:w="0" w:type="dxa"/>
                <w:right w:w="0" w:type="dxa"/>
              </w:tblCellMar>
              <w:tblLook w:val="04A0" w:firstRow="1" w:lastRow="0" w:firstColumn="1" w:lastColumn="0" w:noHBand="0" w:noVBand="1"/>
            </w:tblPr>
            <w:tblGrid>
              <w:gridCol w:w="9026"/>
            </w:tblGrid>
            <w:tr w:rsidR="005204D2">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5204D2">
                    <w:tc>
                      <w:tcPr>
                        <w:tcW w:w="0" w:type="auto"/>
                        <w:tcBorders>
                          <w:top w:val="single" w:sz="12" w:space="0" w:color="A50050"/>
                          <w:left w:val="nil"/>
                          <w:bottom w:val="nil"/>
                          <w:right w:val="nil"/>
                        </w:tcBorders>
                        <w:vAlign w:val="center"/>
                        <w:hideMark/>
                      </w:tcPr>
                      <w:p w:rsidR="005204D2" w:rsidRDefault="005204D2"/>
                    </w:tc>
                  </w:tr>
                </w:tbl>
                <w:p w:rsidR="005204D2" w:rsidRDefault="005204D2">
                  <w:pPr>
                    <w:rPr>
                      <w:rFonts w:eastAsia="Times New Roman"/>
                      <w:sz w:val="20"/>
                      <w:szCs w:val="20"/>
                    </w:rPr>
                  </w:pPr>
                </w:p>
              </w:tc>
            </w:tr>
          </w:tbl>
          <w:p w:rsidR="005204D2" w:rsidRDefault="005204D2"/>
          <w:tbl>
            <w:tblPr>
              <w:tblW w:w="5000" w:type="pct"/>
              <w:shd w:val="clear" w:color="auto" w:fill="0779BF"/>
              <w:tblCellMar>
                <w:left w:w="0" w:type="dxa"/>
                <w:right w:w="0" w:type="dxa"/>
              </w:tblCellMar>
              <w:tblLook w:val="04A0" w:firstRow="1" w:lastRow="0" w:firstColumn="1" w:lastColumn="0" w:noHBand="0" w:noVBand="1"/>
            </w:tblPr>
            <w:tblGrid>
              <w:gridCol w:w="9026"/>
            </w:tblGrid>
            <w:tr w:rsidR="005204D2">
              <w:tc>
                <w:tcPr>
                  <w:tcW w:w="0" w:type="auto"/>
                  <w:shd w:val="clear" w:color="auto" w:fill="0779BF"/>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5204D2">
                    <w:tc>
                      <w:tcPr>
                        <w:tcW w:w="0" w:type="auto"/>
                        <w:tcBorders>
                          <w:top w:val="single" w:sz="48" w:space="0" w:color="0779BF"/>
                          <w:left w:val="nil"/>
                          <w:bottom w:val="nil"/>
                          <w:right w:val="nil"/>
                        </w:tcBorders>
                        <w:vAlign w:val="center"/>
                        <w:hideMark/>
                      </w:tcPr>
                      <w:p w:rsidR="005204D2" w:rsidRDefault="005204D2"/>
                    </w:tc>
                  </w:tr>
                </w:tbl>
                <w:p w:rsidR="005204D2" w:rsidRDefault="005204D2">
                  <w:pPr>
                    <w:rPr>
                      <w:rFonts w:eastAsia="Times New Roman"/>
                      <w:sz w:val="20"/>
                      <w:szCs w:val="20"/>
                    </w:rPr>
                  </w:pPr>
                </w:p>
              </w:tc>
            </w:tr>
          </w:tbl>
          <w:p w:rsidR="005204D2" w:rsidRDefault="005204D2"/>
        </w:tc>
        <w:bookmarkStart w:id="2" w:name="_GoBack"/>
        <w:bookmarkEnd w:id="2"/>
      </w:tr>
    </w:tbl>
    <w:p w:rsidR="007C4B46" w:rsidRDefault="007C4B46"/>
    <w:sectPr w:rsidR="007C4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D2"/>
    <w:rsid w:val="00014524"/>
    <w:rsid w:val="0008426A"/>
    <w:rsid w:val="00372742"/>
    <w:rsid w:val="003E2FE0"/>
    <w:rsid w:val="005204D2"/>
    <w:rsid w:val="00782032"/>
    <w:rsid w:val="007C4B46"/>
    <w:rsid w:val="008A49F6"/>
    <w:rsid w:val="00AD4592"/>
    <w:rsid w:val="00B32B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AA4E"/>
  <w15:chartTrackingRefBased/>
  <w15:docId w15:val="{09A0BBEA-6415-4A61-B32C-311ABEA8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Boogh"/>
    <w:qFormat/>
    <w:rsid w:val="005204D2"/>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B32B47"/>
    <w:pPr>
      <w:keepNext/>
      <w:keepLines/>
      <w:spacing w:line="280" w:lineRule="atLeast"/>
      <w:outlineLvl w:val="0"/>
    </w:pPr>
    <w:rPr>
      <w:rFonts w:ascii="Arial" w:eastAsiaTheme="majorEastAsia" w:hAnsi="Arial" w:cstheme="majorBidi"/>
      <w:b/>
      <w:color w:val="000000" w:themeColor="text1"/>
      <w:sz w:val="22"/>
      <w:szCs w:val="32"/>
      <w:lang w:eastAsia="en-US"/>
    </w:rPr>
  </w:style>
  <w:style w:type="paragraph" w:styleId="Kop2">
    <w:name w:val="heading 2"/>
    <w:basedOn w:val="Standaard"/>
    <w:next w:val="Standaard"/>
    <w:link w:val="Kop2Char"/>
    <w:uiPriority w:val="9"/>
    <w:semiHidden/>
    <w:unhideWhenUsed/>
    <w:qFormat/>
    <w:rsid w:val="00B32B47"/>
    <w:pPr>
      <w:keepNext/>
      <w:keepLines/>
      <w:spacing w:line="280" w:lineRule="atLeast"/>
      <w:outlineLvl w:val="1"/>
    </w:pPr>
    <w:rPr>
      <w:rFonts w:ascii="Arial" w:eastAsiaTheme="majorEastAsia" w:hAnsi="Arial" w:cstheme="majorBidi"/>
      <w:color w:val="000000" w:themeColor="text1"/>
      <w:sz w:val="20"/>
      <w:szCs w:val="26"/>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2B47"/>
    <w:rPr>
      <w:rFonts w:ascii="Arial" w:eastAsiaTheme="majorEastAsia" w:hAnsi="Arial" w:cstheme="majorBidi"/>
      <w:b/>
      <w:color w:val="000000" w:themeColor="text1"/>
      <w:szCs w:val="32"/>
    </w:rPr>
  </w:style>
  <w:style w:type="character" w:customStyle="1" w:styleId="Kop2Char">
    <w:name w:val="Kop 2 Char"/>
    <w:basedOn w:val="Standaardalinea-lettertype"/>
    <w:link w:val="Kop2"/>
    <w:uiPriority w:val="9"/>
    <w:semiHidden/>
    <w:rsid w:val="00B32B47"/>
    <w:rPr>
      <w:rFonts w:ascii="Arial" w:eastAsiaTheme="majorEastAsia" w:hAnsi="Arial" w:cstheme="majorBidi"/>
      <w:color w:val="000000" w:themeColor="text1"/>
      <w:sz w:val="20"/>
      <w:szCs w:val="26"/>
      <w:u w:val="single"/>
    </w:rPr>
  </w:style>
  <w:style w:type="paragraph" w:styleId="Titel">
    <w:name w:val="Title"/>
    <w:basedOn w:val="Standaard"/>
    <w:next w:val="Standaard"/>
    <w:link w:val="TitelChar"/>
    <w:uiPriority w:val="10"/>
    <w:qFormat/>
    <w:rsid w:val="00B32B47"/>
    <w:pPr>
      <w:spacing w:line="280" w:lineRule="atLeast"/>
      <w:contextualSpacing/>
    </w:pPr>
    <w:rPr>
      <w:rFonts w:ascii="Arial" w:eastAsiaTheme="majorEastAsia" w:hAnsi="Arial" w:cstheme="majorBidi"/>
      <w:b/>
      <w:color w:val="000000" w:themeColor="text1"/>
      <w:spacing w:val="-10"/>
      <w:kern w:val="28"/>
      <w:sz w:val="36"/>
      <w:szCs w:val="56"/>
      <w:lang w:eastAsia="en-US"/>
    </w:rPr>
  </w:style>
  <w:style w:type="character" w:customStyle="1" w:styleId="TitelChar">
    <w:name w:val="Titel Char"/>
    <w:basedOn w:val="Standaardalinea-lettertype"/>
    <w:link w:val="Titel"/>
    <w:uiPriority w:val="10"/>
    <w:rsid w:val="00B32B47"/>
    <w:rPr>
      <w:rFonts w:ascii="Arial" w:eastAsiaTheme="majorEastAsia" w:hAnsi="Arial" w:cstheme="majorBidi"/>
      <w:b/>
      <w:color w:val="000000" w:themeColor="text1"/>
      <w:spacing w:val="-10"/>
      <w:kern w:val="28"/>
      <w:sz w:val="36"/>
      <w:szCs w:val="56"/>
    </w:rPr>
  </w:style>
  <w:style w:type="character" w:styleId="Hyperlink">
    <w:name w:val="Hyperlink"/>
    <w:basedOn w:val="Standaardalinea-lettertype"/>
    <w:uiPriority w:val="99"/>
    <w:semiHidden/>
    <w:unhideWhenUsed/>
    <w:rsid w:val="005204D2"/>
    <w:rPr>
      <w:color w:val="0000FF"/>
      <w:u w:val="single"/>
    </w:rPr>
  </w:style>
  <w:style w:type="character" w:styleId="Zwaar">
    <w:name w:val="Strong"/>
    <w:basedOn w:val="Standaardalinea-lettertype"/>
    <w:uiPriority w:val="22"/>
    <w:qFormat/>
    <w:rsid w:val="00520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behandeling@boogh.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407</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Carante Groep</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van de Water</dc:creator>
  <cp:keywords/>
  <dc:description/>
  <cp:lastModifiedBy>Yolanda van de Water</cp:lastModifiedBy>
  <cp:revision>1</cp:revision>
  <dcterms:created xsi:type="dcterms:W3CDTF">2018-09-27T12:36:00Z</dcterms:created>
  <dcterms:modified xsi:type="dcterms:W3CDTF">2018-09-27T13:06:00Z</dcterms:modified>
</cp:coreProperties>
</file>